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72" w:type="dxa"/>
        <w:tblLook w:val="01E0" w:firstRow="1" w:lastRow="1" w:firstColumn="1" w:lastColumn="1" w:noHBand="0" w:noVBand="0"/>
      </w:tblPr>
      <w:tblGrid>
        <w:gridCol w:w="687"/>
        <w:gridCol w:w="1632"/>
        <w:gridCol w:w="479"/>
        <w:gridCol w:w="1885"/>
        <w:gridCol w:w="834"/>
        <w:gridCol w:w="749"/>
        <w:gridCol w:w="3583"/>
      </w:tblGrid>
      <w:tr>
        <w:tblPrEx/>
        <w:trPr/>
        <w:tc>
          <w:tcPr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48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50078" cy="650822"/>
                      <wp:effectExtent l="0" t="0" r="0" b="0"/>
                      <wp:docPr id="1" name="_x0000_i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50078" cy="65082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3.31pt;height:51.25pt;mso-wrap-distance-left:0.00pt;mso-wrap-distance-top:0.00pt;mso-wrap-distance-right:0.00pt;mso-wrap-distance-bottom:0.00pt;" stroked="f">
                      <v:path textboxrect="0,0,0,0"/>
                      <v:imagedata r:id="rId8" o:title=""/>
                    </v:shape>
                  </w:pict>
                </mc:Fallback>
              </mc:AlternateConten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  <w:p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МИНИСТЕРСТВО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ЖИЛИЩНО-КОММУНАЛЬНОГО ХОЗЯЙСТВА И ЭНЕРГЕТИКИ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 НОВОСИБИРСКОЙ ОБЛАСТИ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</w:rPr>
              <w:t xml:space="preserve">(МЖКХиЭ НСО)</w:t>
            </w:r>
            <w:r>
              <w:rPr>
                <w:b/>
                <w:sz w:val="12"/>
                <w:szCs w:val="12"/>
              </w:rPr>
            </w:r>
            <w:r>
              <w:rPr>
                <w:b/>
                <w:sz w:val="12"/>
                <w:szCs w:val="12"/>
              </w:rPr>
            </w:r>
          </w:p>
          <w:p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</w:r>
            <w:r>
              <w:rPr>
                <w:b/>
                <w:sz w:val="12"/>
                <w:szCs w:val="12"/>
              </w:rPr>
            </w:r>
            <w:r>
              <w:rPr>
                <w:b/>
                <w:sz w:val="12"/>
                <w:szCs w:val="1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Фрунзе, д. 5, г. Новосибирск, 630091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тел.: (383) 238-76-09 </w:t>
            </w:r>
            <w:r>
              <w:rPr>
                <w:rFonts w:eastAsia="Calibri"/>
                <w:sz w:val="22"/>
              </w:rPr>
              <w:t xml:space="preserve">факс: (383) 238-61-07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www.mjkh.nso.ru</w:t>
            </w:r>
            <w:r>
              <w:rPr>
                <w:sz w:val="22"/>
                <w:szCs w:val="22"/>
                <w:u w:val="single"/>
              </w:rPr>
            </w:r>
            <w:r>
              <w:rPr>
                <w:sz w:val="22"/>
                <w:szCs w:val="22"/>
                <w:u w:val="single"/>
              </w:rPr>
            </w:r>
          </w:p>
          <w:p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E-mail: mingkh@nso.ru</w:t>
            </w:r>
            <w:r>
              <w:rPr>
                <w:sz w:val="22"/>
                <w:szCs w:val="22"/>
                <w:u w:val="single"/>
              </w:rPr>
            </w:r>
            <w:r>
              <w:rPr>
                <w:sz w:val="22"/>
                <w:szCs w:val="22"/>
                <w:u w:val="single"/>
              </w:rPr>
            </w:r>
          </w:p>
          <w:p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790" w:type="dxa"/>
            <w:textDirection w:val="lrTb"/>
            <w:noWrap w:val="false"/>
          </w:tcPr>
          <w:p>
            <w:pPr>
              <w:rPr>
                <w:rFonts w:ascii="Calibri" w:hAnsi="Calibri" w:eastAsia="Calibri"/>
                <w:lang w:val="de-DE"/>
              </w:rPr>
            </w:pPr>
            <w:r>
              <w:rPr>
                <w:rFonts w:ascii="Calibri" w:hAnsi="Calibri" w:eastAsia="Calibri"/>
                <w:lang w:val="de-DE"/>
              </w:rPr>
            </w:r>
            <w:r>
              <w:rPr>
                <w:rFonts w:ascii="Calibri" w:hAnsi="Calibri" w:eastAsia="Calibri"/>
                <w:lang w:val="de-DE"/>
              </w:rPr>
            </w:r>
            <w:r>
              <w:rPr>
                <w:rFonts w:ascii="Calibri" w:hAnsi="Calibri" w:eastAsia="Calibri"/>
                <w:lang w:val="de-D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87" w:type="dxa"/>
            <w:textDirection w:val="lrTb"/>
            <w:noWrap w:val="false"/>
          </w:tcPr>
          <w:p>
            <w:pPr>
              <w:pStyle w:val="861"/>
              <w:jc w:val="center"/>
              <w:tabs>
                <w:tab w:val="clear" w:pos="4153" w:leader="none"/>
                <w:tab w:val="clear" w:pos="8306" w:leader="none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  <w:highlight w:val="none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  <w:p>
            <w:pPr>
              <w:pStyle w:val="861"/>
              <w:jc w:val="center"/>
              <w:tabs>
                <w:tab w:val="clear" w:pos="4153" w:leader="none"/>
                <w:tab w:val="clear" w:pos="8306" w:leader="none"/>
              </w:tabs>
              <w:rPr>
                <w:sz w:val="27"/>
                <w:szCs w:val="27"/>
                <w:highlight w:val="none"/>
              </w:rPr>
            </w:pPr>
            <w:r>
              <w:rPr>
                <w:sz w:val="27"/>
                <w:szCs w:val="27"/>
                <w:highlight w:val="none"/>
              </w:rPr>
            </w:r>
            <w:r>
              <w:rPr>
                <w:sz w:val="27"/>
                <w:szCs w:val="27"/>
                <w:highlight w:val="none"/>
              </w:rPr>
            </w:r>
            <w:r>
              <w:rPr>
                <w:sz w:val="27"/>
                <w:szCs w:val="27"/>
                <w:highlight w:val="none"/>
              </w:rPr>
            </w:r>
          </w:p>
          <w:p>
            <w:pPr>
              <w:pStyle w:val="861"/>
              <w:jc w:val="center"/>
              <w:tabs>
                <w:tab w:val="clear" w:pos="4153" w:leader="none"/>
                <w:tab w:val="clear" w:pos="8306" w:leader="none"/>
              </w:tabs>
              <w:rPr>
                <w:sz w:val="27"/>
                <w:szCs w:val="27"/>
                <w:highlight w:val="none"/>
              </w:rPr>
            </w:pPr>
            <w:r>
              <w:rPr>
                <w:sz w:val="27"/>
                <w:szCs w:val="27"/>
                <w:highlight w:val="none"/>
              </w:rPr>
            </w:r>
            <w:r>
              <w:rPr>
                <w:sz w:val="27"/>
                <w:szCs w:val="27"/>
                <w:highlight w:val="none"/>
              </w:rPr>
            </w:r>
            <w:r>
              <w:rPr>
                <w:sz w:val="27"/>
                <w:szCs w:val="27"/>
                <w:highlight w:val="none"/>
              </w:rPr>
            </w:r>
          </w:p>
          <w:p>
            <w:pPr>
              <w:pStyle w:val="861"/>
              <w:jc w:val="center"/>
              <w:tabs>
                <w:tab w:val="clear" w:pos="4153" w:leader="none"/>
                <w:tab w:val="clear" w:pos="8306" w:leader="none"/>
              </w:tabs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861"/>
              <w:jc w:val="center"/>
              <w:tabs>
                <w:tab w:val="clear" w:pos="4153" w:leader="none"/>
                <w:tab w:val="clear" w:pos="8306" w:leader="none"/>
              </w:tabs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Главам муниципальных районов и городских округов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91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Новосибирской области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</w:tr>
      <w:tr>
        <w:tblPrEx/>
        <w:trPr>
          <w:gridAfter w:val="3"/>
          <w:trHeight w:val="209"/>
        </w:trPr>
        <w:tc>
          <w:tcPr>
            <w:tcW w:w="698" w:type="dxa"/>
            <w:textDirection w:val="lrTb"/>
            <w:noWrap w:val="false"/>
          </w:tcPr>
          <w:p>
            <w:pPr>
              <w:ind w:left="72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388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color w:val="ffffff"/>
              </w:rPr>
            </w:pPr>
            <w:r>
              <w:rPr>
                <w:color w:val="ffffff"/>
              </w:rPr>
            </w:r>
            <w:r>
              <w:rPr>
                <w:color w:val="ffffff" w:themeColor="background1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  <w:lang w:val="en-US"/>
              </w:rPr>
              <w:t xml:space="preserve">[</w:t>
            </w:r>
            <w:r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  <w:lang w:val="ru-RU"/>
              </w:rPr>
              <w:t xml:space="preserve">МЕСТО ДЛЯ ШТАМПА</w:t>
            </w:r>
            <w:r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  <w:lang w:val="en-US"/>
              </w:rPr>
              <w:t xml:space="preserve">]</w:t>
            </w:r>
            <w:r>
              <w:rPr>
                <w:color w:val="ffffff"/>
              </w:rPr>
              <w:t xml:space="preserve"> ШТАМПА]</w:t>
            </w:r>
            <w:r>
              <w:rPr>
                <w:rFonts w:eastAsia="Calibri"/>
                <w:color w:val="ffffff"/>
              </w:rPr>
              <w:t xml:space="preserve"> </w:t>
            </w:r>
            <w:r>
              <w:rPr>
                <w:rFonts w:eastAsia="Calibri"/>
                <w:color w:val="ffffff"/>
              </w:rPr>
            </w:r>
            <w:r>
              <w:rPr>
                <w:rFonts w:eastAsia="Calibri"/>
                <w:color w:val="ffffff"/>
              </w:rPr>
            </w:r>
          </w:p>
        </w:tc>
      </w:tr>
      <w:tr>
        <w:tblPrEx/>
        <w:trPr>
          <w:gridAfter w:val="3"/>
        </w:trPr>
        <w:tc>
          <w:tcPr>
            <w:tcW w:w="698" w:type="dxa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 xml:space="preserve">На №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67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14980/17</w:t>
            </w:r>
            <w:r>
              <w:rPr>
                <w:rFonts w:eastAsia="Calibri"/>
                <w:sz w:val="27"/>
                <w:szCs w:val="27"/>
              </w:rPr>
            </w:r>
            <w:r>
              <w:rPr>
                <w:rFonts w:eastAsia="Calibri"/>
                <w:sz w:val="27"/>
                <w:szCs w:val="27"/>
              </w:rPr>
            </w:r>
          </w:p>
        </w:tc>
        <w:tc>
          <w:tcPr>
            <w:tcW w:w="292" w:type="dxa"/>
            <w:textDirection w:val="lrTb"/>
            <w:noWrap w:val="false"/>
          </w:tcPr>
          <w:p>
            <w:pPr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 xml:space="preserve">от</w:t>
            </w:r>
            <w:r>
              <w:rPr>
                <w:rFonts w:eastAsia="Calibri"/>
                <w:sz w:val="27"/>
                <w:szCs w:val="27"/>
              </w:rPr>
            </w:r>
            <w:r>
              <w:rPr>
                <w:rFonts w:eastAsia="Calibri"/>
                <w:sz w:val="27"/>
                <w:szCs w:val="27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91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26.06</w:t>
            </w:r>
            <w:r>
              <w:rPr>
                <w:sz w:val="27"/>
                <w:szCs w:val="27"/>
              </w:rPr>
              <w:t xml:space="preserve">.2025</w:t>
            </w:r>
            <w:r>
              <w:rPr>
                <w:rFonts w:eastAsia="Calibri"/>
                <w:sz w:val="27"/>
                <w:szCs w:val="27"/>
              </w:rPr>
            </w:r>
            <w:r>
              <w:rPr>
                <w:rFonts w:eastAsia="Calibri"/>
                <w:sz w:val="27"/>
                <w:szCs w:val="27"/>
              </w:rPr>
            </w:r>
          </w:p>
        </w:tc>
      </w:tr>
    </w:tbl>
    <w:p>
      <w:pPr>
        <w:jc w:val="both"/>
        <w:rPr>
          <w:sz w:val="26"/>
          <w:szCs w:val="26"/>
        </w:rPr>
      </w:pPr>
      <w:r>
        <w:t xml:space="preserve"> </w:t>
      </w:r>
      <w:r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реализации функционала по выгрузке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протоколов общих собраний собственников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91"/>
        <w:ind w:left="0" w:right="0"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Министерств</w:t>
      </w:r>
      <w:r>
        <w:rPr>
          <w:rFonts w:ascii="Times New Roman" w:hAnsi="Times New Roman" w:cs="Times New Roman"/>
          <w:sz w:val="26"/>
          <w:szCs w:val="26"/>
        </w:rPr>
        <w:t xml:space="preserve">о</w:t>
      </w:r>
      <w:r>
        <w:rPr>
          <w:rFonts w:ascii="Times New Roman" w:hAnsi="Times New Roman" w:cs="Times New Roman"/>
          <w:sz w:val="26"/>
          <w:szCs w:val="26"/>
        </w:rPr>
        <w:t xml:space="preserve"> строительства и жилищно-коммунального хозяйства</w:t>
      </w:r>
      <w:r>
        <w:rPr>
          <w:rFonts w:ascii="Times New Roman" w:hAnsi="Times New Roman" w:cs="Times New Roman"/>
          <w:sz w:val="26"/>
          <w:szCs w:val="26"/>
        </w:rPr>
        <w:t xml:space="preserve"> Российской Федерации (далее – Минстрой России) в письме от 24.06.2025 № 36407-АЕ/14</w:t>
      </w:r>
      <w:r>
        <w:rPr>
          <w:rFonts w:ascii="Times New Roman" w:hAnsi="Times New Roman" w:cs="Times New Roman"/>
          <w:sz w:val="26"/>
          <w:szCs w:val="26"/>
        </w:rPr>
        <w:t xml:space="preserve"> информирует, что </w:t>
      </w:r>
      <w:r>
        <w:rPr>
          <w:rFonts w:ascii="Times New Roman" w:hAnsi="Times New Roman" w:cs="Times New Roman"/>
          <w:sz w:val="26"/>
          <w:szCs w:val="26"/>
        </w:rPr>
        <w:t xml:space="preserve">1 сентября 2025 года</w:t>
      </w:r>
      <w:r>
        <w:rPr>
          <w:rFonts w:ascii="Times New Roman" w:hAnsi="Times New Roman" w:cs="Times New Roman"/>
          <w:sz w:val="26"/>
          <w:szCs w:val="26"/>
        </w:rPr>
        <w:t xml:space="preserve"> вступит в действие п</w:t>
      </w:r>
      <w:r>
        <w:rPr>
          <w:rFonts w:ascii="Times New Roman" w:hAnsi="Times New Roman" w:cs="Times New Roman"/>
          <w:sz w:val="26"/>
          <w:szCs w:val="26"/>
        </w:rPr>
        <w:t xml:space="preserve">риказ Минстроя России от 30.04.</w:t>
      </w:r>
      <w:r>
        <w:rPr>
          <w:rFonts w:ascii="Times New Roman" w:hAnsi="Times New Roman" w:cs="Times New Roman"/>
          <w:sz w:val="26"/>
          <w:szCs w:val="26"/>
        </w:rPr>
        <w:t xml:space="preserve">2025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266/</w:t>
      </w:r>
      <w:r>
        <w:rPr>
          <w:rFonts w:ascii="Times New Roman" w:hAnsi="Times New Roman" w:cs="Times New Roman"/>
          <w:sz w:val="26"/>
          <w:szCs w:val="26"/>
        </w:rPr>
        <w:t xml:space="preserve">пр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 xml:space="preserve">Об утверждении Требований</w:t>
      </w:r>
      <w:r>
        <w:rPr>
          <w:rFonts w:ascii="Times New Roman" w:hAnsi="Times New Roman" w:cs="Times New Roman"/>
          <w:sz w:val="26"/>
          <w:szCs w:val="26"/>
        </w:rPr>
        <w:t xml:space="preserve"> к оформлению протокола общего собрания собственников помещений</w:t>
      </w:r>
      <w:r>
        <w:rPr>
          <w:rFonts w:ascii="Times New Roman" w:hAnsi="Times New Roman" w:cs="Times New Roman"/>
          <w:sz w:val="26"/>
          <w:szCs w:val="26"/>
        </w:rPr>
        <w:t xml:space="preserve"> в многоквартирном доме и Порядка направления подлинников решений и протокола общего собрания собственников помещений в многоквартирном доме</w:t>
      </w:r>
      <w:r>
        <w:rPr>
          <w:rFonts w:ascii="Times New Roman" w:hAnsi="Times New Roman" w:cs="Times New Roman"/>
          <w:sz w:val="26"/>
          <w:szCs w:val="26"/>
        </w:rPr>
        <w:t xml:space="preserve"> в уполномоченный исполнительный орган субъекта Российской Федерации, осуществляющий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государственный жилищный надзор» (далее – Приказ        № 266/</w:t>
      </w:r>
      <w:r>
        <w:rPr>
          <w:rFonts w:ascii="Times New Roman" w:hAnsi="Times New Roman" w:cs="Times New Roman"/>
          <w:sz w:val="26"/>
          <w:szCs w:val="26"/>
        </w:rPr>
        <w:t xml:space="preserve">пр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, утвердивший новые Требования к оформлению протокола общего собрания собственников помещений в многоквартирном доме и Порядок направления подлинников решений и протокола общего собрания собственников помещений</w:t>
      </w:r>
      <w:r>
        <w:rPr>
          <w:rFonts w:ascii="Times New Roman" w:hAnsi="Times New Roman" w:cs="Times New Roman"/>
          <w:sz w:val="26"/>
          <w:szCs w:val="26"/>
        </w:rPr>
        <w:t xml:space="preserve"> в многоквартирном доме в уполномоченный исполнительный орган субъекта Российской Федерации, осуществляющий г</w:t>
      </w:r>
      <w:r>
        <w:rPr>
          <w:rFonts w:ascii="Times New Roman" w:hAnsi="Times New Roman" w:cs="Times New Roman"/>
          <w:sz w:val="26"/>
          <w:szCs w:val="26"/>
        </w:rPr>
        <w:t xml:space="preserve">осударственный жилищный надзор.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3"/>
        <w:ind w:left="40" w:right="60" w:firstLine="669"/>
        <w:spacing w:before="0" w:line="240" w:lineRule="auto"/>
        <w:shd w:val="clear" w:color="auto" w:fill="auto"/>
        <w:rPr>
          <w:color w:val="000000"/>
          <w:sz w:val="28"/>
          <w:szCs w:val="28"/>
        </w:rPr>
      </w:pPr>
      <w:r>
        <w:rPr>
          <w:color w:val="000000"/>
          <w:sz w:val="26"/>
          <w:szCs w:val="26"/>
          <w:lang w:bidi="ru-RU"/>
        </w:rPr>
        <w:t xml:space="preserve">С</w:t>
      </w:r>
      <w:r>
        <w:rPr>
          <w:color w:val="000000"/>
          <w:sz w:val="26"/>
          <w:szCs w:val="26"/>
          <w:lang w:bidi="ru-RU"/>
        </w:rPr>
        <w:t xml:space="preserve"> целью доведения указанного письма Минстроя России до сведения организаций по управлению многоквартирными домами прошу Вас разместить данное письмо </w:t>
      </w:r>
      <w:r>
        <w:rPr>
          <w:color w:val="000000"/>
          <w:sz w:val="26"/>
          <w:szCs w:val="26"/>
          <w:lang w:bidi="ru-RU"/>
        </w:rPr>
        <w:t xml:space="preserve">на своих сайтах в сети Интернет</w:t>
      </w:r>
      <w:r>
        <w:rPr>
          <w:color w:val="000000"/>
          <w:sz w:val="26"/>
          <w:szCs w:val="26"/>
          <w:lang w:bidi="ru-RU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63"/>
        <w:ind w:left="40" w:right="60" w:firstLine="669"/>
        <w:spacing w:before="0" w:line="240" w:lineRule="auto"/>
        <w:shd w:val="clear" w:color="auto" w:fill="auto"/>
        <w:rPr>
          <w:sz w:val="27"/>
          <w:szCs w:val="27"/>
          <w:highlight w:val="none"/>
        </w:rPr>
      </w:pPr>
      <w:r>
        <w:rPr>
          <w:sz w:val="26"/>
          <w:szCs w:val="26"/>
        </w:rPr>
        <w:t xml:space="preserve">Кроме того, п</w:t>
      </w:r>
      <w:r>
        <w:rPr>
          <w:sz w:val="26"/>
          <w:szCs w:val="26"/>
        </w:rPr>
        <w:t xml:space="preserve">рошу организовать проведение совещания с руководителями управляющих компаний и ТСЖ по информированию о реализации Приказа № 266/пр</w:t>
      </w:r>
      <w:r>
        <w:rPr>
          <w:sz w:val="26"/>
          <w:szCs w:val="26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Style w:val="851"/>
        <w:ind w:firstLine="708"/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ind w:firstLine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ind w:firstLine="0"/>
        <w:rPr>
          <w:sz w:val="26"/>
          <w:szCs w:val="26"/>
        </w:rPr>
      </w:pPr>
      <w:r>
        <w:rPr>
          <w:sz w:val="26"/>
          <w:szCs w:val="26"/>
          <w:highlight w:val="none"/>
        </w:rPr>
        <w:t xml:space="preserve">Приложение: 2 файла.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1"/>
        <w:ind w:firstLine="708"/>
        <w:rPr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</w:pPr>
      <w:r>
        <w:rPr>
          <w:sz w:val="26"/>
          <w:szCs w:val="26"/>
        </w:rPr>
        <w:t xml:space="preserve">Исполняющий обязанности министра</w:t>
      </w:r>
      <w:r>
        <w:rPr>
          <w:sz w:val="26"/>
          <w:szCs w:val="26"/>
        </w:rPr>
        <w:t xml:space="preserve">                                                                 Е.Г.</w:t>
      </w:r>
      <w:r>
        <w:rPr>
          <w:sz w:val="26"/>
          <w:szCs w:val="26"/>
        </w:rPr>
        <w:t xml:space="preserve"> Назаров</w:t>
      </w:r>
      <w:r/>
    </w:p>
    <w:p>
      <w:pPr>
        <w:jc w:val="center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 xml:space="preserve">                                             </w:t>
      </w:r>
      <w:r>
        <w:rPr>
          <w:sz w:val="20"/>
          <w:szCs w:val="20"/>
          <w:highlight w:val="none"/>
        </w:rPr>
        <w:t xml:space="preserve">  </w:t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  <w:highlight w:val="none"/>
          <w:lang w:val="en-US"/>
        </w:rPr>
        <w:t xml:space="preserve">[</w:t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  <w:highlight w:val="none"/>
          <w:lang w:val="ru-RU"/>
        </w:rPr>
        <w:t xml:space="preserve">МЕСТО ДЛЯ ПОДПИСИ</w:t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  <w:highlight w:val="none"/>
          <w:lang w:val="en-US"/>
        </w:rPr>
        <w:t xml:space="preserve">]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Е.А. Левшанова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238 76 49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6" w:h="16838" w:orient="portrait"/>
      <w:pgMar w:top="850" w:right="567" w:bottom="170" w:left="141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 Light">
    <w:panose1 w:val="020F050202020403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 w:default="1">
    <w:name w:val="Normal"/>
    <w:qFormat/>
    <w:rPr>
      <w:rFonts w:ascii="Times New Roman" w:hAnsi="Times New Roman" w:eastAsia="Times New Roman"/>
      <w:sz w:val="28"/>
      <w:szCs w:val="28"/>
      <w:lang w:eastAsia="ru-RU"/>
    </w:rPr>
  </w:style>
  <w:style w:type="paragraph" w:styleId="655">
    <w:name w:val="Heading 1"/>
    <w:basedOn w:val="654"/>
    <w:next w:val="654"/>
    <w:link w:val="857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656">
    <w:name w:val="Heading 2"/>
    <w:basedOn w:val="654"/>
    <w:next w:val="654"/>
    <w:link w:val="6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7">
    <w:name w:val="Heading 3"/>
    <w:basedOn w:val="654"/>
    <w:next w:val="654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8">
    <w:name w:val="Heading 4"/>
    <w:basedOn w:val="654"/>
    <w:next w:val="654"/>
    <w:link w:val="6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654"/>
    <w:next w:val="654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654"/>
    <w:next w:val="654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1">
    <w:name w:val="Heading 7"/>
    <w:basedOn w:val="654"/>
    <w:next w:val="654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2">
    <w:name w:val="Heading 8"/>
    <w:basedOn w:val="654"/>
    <w:next w:val="654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3">
    <w:name w:val="Heading 9"/>
    <w:basedOn w:val="654"/>
    <w:next w:val="654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4" w:default="1">
    <w:name w:val="Default Paragraph Font"/>
    <w:uiPriority w:val="1"/>
    <w:semiHidden/>
    <w:unhideWhenUsed/>
  </w:style>
  <w:style w:type="table" w:styleId="6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6" w:default="1">
    <w:name w:val="No List"/>
    <w:uiPriority w:val="99"/>
    <w:semiHidden/>
    <w:unhideWhenUsed/>
  </w:style>
  <w:style w:type="character" w:styleId="667" w:customStyle="1">
    <w:name w:val="Heading 2 Char"/>
    <w:basedOn w:val="664"/>
    <w:uiPriority w:val="9"/>
    <w:rPr>
      <w:rFonts w:ascii="Arial" w:hAnsi="Arial" w:eastAsia="Arial" w:cs="Arial"/>
      <w:sz w:val="34"/>
    </w:rPr>
  </w:style>
  <w:style w:type="character" w:styleId="668" w:customStyle="1">
    <w:name w:val="Heading 3 Char"/>
    <w:basedOn w:val="664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Heading 4 Char"/>
    <w:basedOn w:val="664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Heading 5 Char"/>
    <w:basedOn w:val="664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Heading 6 Char"/>
    <w:basedOn w:val="664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Heading 7 Char"/>
    <w:basedOn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Heading 8 Char"/>
    <w:basedOn w:val="664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Heading 9 Char"/>
    <w:basedOn w:val="664"/>
    <w:uiPriority w:val="9"/>
    <w:rPr>
      <w:rFonts w:ascii="Arial" w:hAnsi="Arial" w:eastAsia="Arial" w:cs="Arial"/>
      <w:i/>
      <w:iCs/>
      <w:sz w:val="21"/>
      <w:szCs w:val="21"/>
    </w:rPr>
  </w:style>
  <w:style w:type="character" w:styleId="675" w:customStyle="1">
    <w:name w:val="Title Char"/>
    <w:basedOn w:val="664"/>
    <w:uiPriority w:val="10"/>
    <w:rPr>
      <w:sz w:val="48"/>
      <w:szCs w:val="48"/>
    </w:rPr>
  </w:style>
  <w:style w:type="character" w:styleId="676" w:customStyle="1">
    <w:name w:val="Subtitle Char"/>
    <w:basedOn w:val="664"/>
    <w:uiPriority w:val="11"/>
    <w:rPr>
      <w:sz w:val="24"/>
      <w:szCs w:val="24"/>
    </w:rPr>
  </w:style>
  <w:style w:type="character" w:styleId="677" w:customStyle="1">
    <w:name w:val="Quote Char"/>
    <w:uiPriority w:val="29"/>
    <w:rPr>
      <w:i/>
    </w:rPr>
  </w:style>
  <w:style w:type="character" w:styleId="678" w:customStyle="1">
    <w:name w:val="Intense Quote Char"/>
    <w:uiPriority w:val="30"/>
    <w:rPr>
      <w:i/>
    </w:rPr>
  </w:style>
  <w:style w:type="character" w:styleId="679" w:customStyle="1">
    <w:name w:val="Caption Char"/>
    <w:uiPriority w:val="99"/>
  </w:style>
  <w:style w:type="character" w:styleId="680" w:customStyle="1">
    <w:name w:val="Endnote Text Char"/>
    <w:uiPriority w:val="99"/>
    <w:rPr>
      <w:sz w:val="20"/>
    </w:rPr>
  </w:style>
  <w:style w:type="character" w:styleId="681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Заголовок 2 Знак"/>
    <w:link w:val="656"/>
    <w:uiPriority w:val="9"/>
    <w:rPr>
      <w:rFonts w:ascii="Arial" w:hAnsi="Arial" w:eastAsia="Arial" w:cs="Arial"/>
      <w:sz w:val="34"/>
    </w:rPr>
  </w:style>
  <w:style w:type="character" w:styleId="683" w:customStyle="1">
    <w:name w:val="Заголовок 3 Знак"/>
    <w:link w:val="657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Заголовок 4 Знак"/>
    <w:link w:val="658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Заголовок 5 Знак"/>
    <w:link w:val="659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Заголовок 6 Знак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Заголовок 7 Знак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Заголовок 8 Знак"/>
    <w:link w:val="662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Заголовок 9 Знак"/>
    <w:link w:val="663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654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rPr>
      <w:rFonts w:ascii="Times New Roman" w:hAnsi="Times New Roman" w:eastAsia="Times New Roman"/>
      <w:sz w:val="28"/>
      <w:szCs w:val="28"/>
      <w:lang w:eastAsia="ru-RU"/>
    </w:rPr>
  </w:style>
  <w:style w:type="paragraph" w:styleId="692">
    <w:name w:val="Title"/>
    <w:basedOn w:val="654"/>
    <w:next w:val="654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 w:customStyle="1">
    <w:name w:val="Заголовок Знак"/>
    <w:link w:val="692"/>
    <w:uiPriority w:val="10"/>
    <w:rPr>
      <w:sz w:val="48"/>
      <w:szCs w:val="48"/>
    </w:rPr>
  </w:style>
  <w:style w:type="paragraph" w:styleId="694">
    <w:name w:val="Subtitle"/>
    <w:basedOn w:val="654"/>
    <w:next w:val="654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 w:customStyle="1">
    <w:name w:val="Подзаголовок Знак"/>
    <w:link w:val="694"/>
    <w:uiPriority w:val="11"/>
    <w:rPr>
      <w:sz w:val="24"/>
      <w:szCs w:val="24"/>
    </w:rPr>
  </w:style>
  <w:style w:type="paragraph" w:styleId="696">
    <w:name w:val="Quote"/>
    <w:basedOn w:val="654"/>
    <w:next w:val="654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54"/>
    <w:next w:val="654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paragraph" w:styleId="700">
    <w:name w:val="Header"/>
    <w:basedOn w:val="654"/>
    <w:link w:val="850"/>
    <w:uiPriority w:val="99"/>
    <w:pPr>
      <w:tabs>
        <w:tab w:val="center" w:pos="4153" w:leader="none"/>
        <w:tab w:val="right" w:pos="8306" w:leader="none"/>
      </w:tabs>
    </w:pPr>
  </w:style>
  <w:style w:type="character" w:styleId="701" w:customStyle="1">
    <w:name w:val="Header Char"/>
    <w:uiPriority w:val="99"/>
  </w:style>
  <w:style w:type="paragraph" w:styleId="702">
    <w:name w:val="Footer"/>
    <w:basedOn w:val="654"/>
    <w:link w:val="705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3" w:customStyle="1">
    <w:name w:val="Footer Char"/>
    <w:uiPriority w:val="99"/>
  </w:style>
  <w:style w:type="paragraph" w:styleId="704">
    <w:name w:val="Caption"/>
    <w:basedOn w:val="654"/>
    <w:next w:val="6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 w:customStyle="1">
    <w:name w:val="Нижний колонтитул Знак"/>
    <w:link w:val="702"/>
    <w:uiPriority w:val="99"/>
  </w:style>
  <w:style w:type="table" w:styleId="706">
    <w:name w:val="Table Grid"/>
    <w:basedOn w:val="665"/>
    <w:tblPr/>
  </w:style>
  <w:style w:type="table" w:styleId="707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6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7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8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9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0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8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9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0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1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2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3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8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9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1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3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4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3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4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5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6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7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8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0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1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2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3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4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5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6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7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8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9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0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1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2">
    <w:name w:val="Hyperlink"/>
    <w:uiPriority w:val="99"/>
    <w:rPr>
      <w:rFonts w:cs="Times New Roman"/>
      <w:color w:val="0000ff"/>
      <w:u w:val="single"/>
    </w:rPr>
  </w:style>
  <w:style w:type="paragraph" w:styleId="833">
    <w:name w:val="footnote text"/>
    <w:basedOn w:val="654"/>
    <w:link w:val="859"/>
    <w:uiPriority w:val="99"/>
    <w:semiHidden/>
    <w:unhideWhenUsed/>
    <w:rPr>
      <w:sz w:val="20"/>
      <w:szCs w:val="20"/>
    </w:rPr>
  </w:style>
  <w:style w:type="character" w:styleId="834" w:customStyle="1">
    <w:name w:val="Footnote Text Char"/>
    <w:uiPriority w:val="99"/>
    <w:rPr>
      <w:sz w:val="18"/>
    </w:rPr>
  </w:style>
  <w:style w:type="character" w:styleId="835">
    <w:name w:val="footnote reference"/>
    <w:uiPriority w:val="99"/>
    <w:semiHidden/>
    <w:unhideWhenUsed/>
    <w:rPr>
      <w:vertAlign w:val="superscript"/>
    </w:rPr>
  </w:style>
  <w:style w:type="paragraph" w:styleId="836">
    <w:name w:val="endnote text"/>
    <w:basedOn w:val="654"/>
    <w:link w:val="837"/>
    <w:uiPriority w:val="99"/>
    <w:semiHidden/>
    <w:unhideWhenUsed/>
    <w:rPr>
      <w:sz w:val="20"/>
    </w:rPr>
  </w:style>
  <w:style w:type="character" w:styleId="837" w:customStyle="1">
    <w:name w:val="Текст концевой сноски Знак"/>
    <w:link w:val="836"/>
    <w:uiPriority w:val="99"/>
    <w:rPr>
      <w:sz w:val="20"/>
    </w:rPr>
  </w:style>
  <w:style w:type="character" w:styleId="838">
    <w:name w:val="endnote reference"/>
    <w:uiPriority w:val="99"/>
    <w:semiHidden/>
    <w:unhideWhenUsed/>
    <w:rPr>
      <w:vertAlign w:val="superscript"/>
    </w:rPr>
  </w:style>
  <w:style w:type="paragraph" w:styleId="839">
    <w:name w:val="toc 1"/>
    <w:basedOn w:val="654"/>
    <w:next w:val="654"/>
    <w:uiPriority w:val="39"/>
    <w:unhideWhenUsed/>
    <w:pPr>
      <w:spacing w:after="57"/>
    </w:pPr>
  </w:style>
  <w:style w:type="paragraph" w:styleId="840">
    <w:name w:val="toc 2"/>
    <w:basedOn w:val="654"/>
    <w:next w:val="654"/>
    <w:uiPriority w:val="39"/>
    <w:unhideWhenUsed/>
    <w:pPr>
      <w:ind w:left="283"/>
      <w:spacing w:after="57"/>
    </w:pPr>
  </w:style>
  <w:style w:type="paragraph" w:styleId="841">
    <w:name w:val="toc 3"/>
    <w:basedOn w:val="654"/>
    <w:next w:val="654"/>
    <w:uiPriority w:val="39"/>
    <w:unhideWhenUsed/>
    <w:pPr>
      <w:ind w:left="567"/>
      <w:spacing w:after="57"/>
    </w:pPr>
  </w:style>
  <w:style w:type="paragraph" w:styleId="842">
    <w:name w:val="toc 4"/>
    <w:basedOn w:val="654"/>
    <w:next w:val="654"/>
    <w:uiPriority w:val="39"/>
    <w:unhideWhenUsed/>
    <w:pPr>
      <w:ind w:left="850"/>
      <w:spacing w:after="57"/>
    </w:pPr>
  </w:style>
  <w:style w:type="paragraph" w:styleId="843">
    <w:name w:val="toc 5"/>
    <w:basedOn w:val="654"/>
    <w:next w:val="654"/>
    <w:uiPriority w:val="39"/>
    <w:unhideWhenUsed/>
    <w:pPr>
      <w:ind w:left="1134"/>
      <w:spacing w:after="57"/>
    </w:pPr>
  </w:style>
  <w:style w:type="paragraph" w:styleId="844">
    <w:name w:val="toc 6"/>
    <w:basedOn w:val="654"/>
    <w:next w:val="654"/>
    <w:uiPriority w:val="39"/>
    <w:unhideWhenUsed/>
    <w:pPr>
      <w:ind w:left="1417"/>
      <w:spacing w:after="57"/>
    </w:pPr>
  </w:style>
  <w:style w:type="paragraph" w:styleId="845">
    <w:name w:val="toc 7"/>
    <w:basedOn w:val="654"/>
    <w:next w:val="654"/>
    <w:uiPriority w:val="39"/>
    <w:unhideWhenUsed/>
    <w:pPr>
      <w:ind w:left="1701"/>
      <w:spacing w:after="57"/>
    </w:pPr>
  </w:style>
  <w:style w:type="paragraph" w:styleId="846">
    <w:name w:val="toc 8"/>
    <w:basedOn w:val="654"/>
    <w:next w:val="654"/>
    <w:uiPriority w:val="39"/>
    <w:unhideWhenUsed/>
    <w:pPr>
      <w:ind w:left="1984"/>
      <w:spacing w:after="57"/>
    </w:pPr>
  </w:style>
  <w:style w:type="paragraph" w:styleId="847">
    <w:name w:val="toc 9"/>
    <w:basedOn w:val="654"/>
    <w:next w:val="654"/>
    <w:uiPriority w:val="39"/>
    <w:unhideWhenUsed/>
    <w:pPr>
      <w:ind w:left="2268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654"/>
    <w:next w:val="654"/>
    <w:uiPriority w:val="99"/>
    <w:unhideWhenUsed/>
  </w:style>
  <w:style w:type="character" w:styleId="850" w:customStyle="1">
    <w:name w:val="Верхний колонтитул Знак"/>
    <w:link w:val="70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51">
    <w:name w:val="Body Text 2"/>
    <w:basedOn w:val="654"/>
    <w:link w:val="852"/>
    <w:uiPriority w:val="99"/>
    <w:pPr>
      <w:jc w:val="both"/>
    </w:pPr>
  </w:style>
  <w:style w:type="character" w:styleId="852" w:customStyle="1">
    <w:name w:val="Основной текст 2 Знак"/>
    <w:link w:val="851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53">
    <w:name w:val="Body Text 3"/>
    <w:basedOn w:val="654"/>
    <w:link w:val="854"/>
    <w:uiPriority w:val="99"/>
    <w:pPr>
      <w:jc w:val="center"/>
    </w:pPr>
    <w:rPr>
      <w:b/>
      <w:bCs/>
    </w:rPr>
  </w:style>
  <w:style w:type="character" w:styleId="854" w:customStyle="1">
    <w:name w:val="Основной текст 3 Знак"/>
    <w:link w:val="853"/>
    <w:uiPriority w:val="99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855">
    <w:name w:val="Balloon Text"/>
    <w:basedOn w:val="654"/>
    <w:link w:val="856"/>
    <w:uiPriority w:val="99"/>
    <w:semiHidden/>
    <w:unhideWhenUsed/>
    <w:rPr>
      <w:rFonts w:ascii="Tahoma" w:hAnsi="Tahoma" w:cs="Tahoma"/>
      <w:sz w:val="16"/>
      <w:szCs w:val="16"/>
    </w:rPr>
  </w:style>
  <w:style w:type="character" w:styleId="856" w:customStyle="1">
    <w:name w:val="Текст выноски Знак"/>
    <w:link w:val="85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57" w:customStyle="1">
    <w:name w:val="Заголовок 1 Знак"/>
    <w:link w:val="655"/>
    <w:uiPriority w:val="9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858" w:customStyle="1">
    <w:name w:val="gwt-inlinelabel"/>
  </w:style>
  <w:style w:type="character" w:styleId="859" w:customStyle="1">
    <w:name w:val="Текст сноски Знак"/>
    <w:link w:val="833"/>
    <w:uiPriority w:val="99"/>
    <w:semiHidden/>
    <w:rPr>
      <w:rFonts w:ascii="Times New Roman" w:hAnsi="Times New Roman" w:eastAsia="Times New Roman"/>
    </w:rPr>
  </w:style>
  <w:style w:type="character" w:styleId="860" w:customStyle="1">
    <w:name w:val="docdata"/>
    <w:basedOn w:val="664"/>
  </w:style>
  <w:style w:type="paragraph" w:styleId="861" w:customStyle="1">
    <w:name w:val="Верхний колонтитул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tabs>
        <w:tab w:val="center" w:pos="4153" w:leader="none"/>
        <w:tab w:val="right" w:pos="8306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62" w:customStyle="1">
    <w:name w:val="Гиперссылка"/>
    <w:uiPriority w:val="99"/>
    <w:rPr>
      <w:rFonts w:cs="Times New Roman"/>
      <w:color w:val="0000ff"/>
      <w:u w:val="single"/>
    </w:rPr>
  </w:style>
  <w:style w:type="paragraph" w:styleId="863" w:customStyle="1">
    <w:name w:val="Основной текст1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365" w:lineRule="exac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wmf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User</dc:creator>
  <cp:revision>45</cp:revision>
  <dcterms:created xsi:type="dcterms:W3CDTF">2023-05-24T03:52:00Z</dcterms:created>
  <dcterms:modified xsi:type="dcterms:W3CDTF">2025-06-27T08:10:08Z</dcterms:modified>
  <cp:version>1048576</cp:version>
</cp:coreProperties>
</file>